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A6098">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right="0"/>
        <w:jc w:val="left"/>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附件</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p>
    <w:p w14:paraId="1D7BC4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right="0"/>
        <w:jc w:val="center"/>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2025年新都基地污水管网维修改造及办理污水排入市政管网排水许可证采购项目需求书</w:t>
      </w:r>
    </w:p>
    <w:p w14:paraId="3141C443">
      <w:pPr>
        <w:pStyle w:val="5"/>
        <w:tabs>
          <w:tab w:val="left" w:pos="0"/>
        </w:tabs>
        <w:snapToGrid w:val="0"/>
        <w:spacing w:line="360" w:lineRule="auto"/>
        <w:rPr>
          <w:rFonts w:hint="eastAsia" w:ascii="宋体" w:hAnsi="宋体" w:eastAsia="宋体" w:cs="Times New Roman"/>
          <w:b/>
          <w:bCs/>
          <w:color w:val="auto"/>
          <w:sz w:val="24"/>
          <w:szCs w:val="24"/>
          <w:lang w:val="en-US" w:eastAsia="zh-CN"/>
        </w:rPr>
      </w:pPr>
    </w:p>
    <w:p w14:paraId="1E18C67A">
      <w:pPr>
        <w:pStyle w:val="5"/>
        <w:tabs>
          <w:tab w:val="left" w:pos="0"/>
        </w:tabs>
        <w:snapToGrid w:val="0"/>
        <w:spacing w:line="360"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一、项目名称</w:t>
      </w:r>
    </w:p>
    <w:p w14:paraId="39247C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640" w:firstLineChars="200"/>
        <w:jc w:val="both"/>
        <w:rPr>
          <w:rFonts w:hint="eastAsia" w:ascii="宋体" w:hAnsi="宋体" w:eastAsia="宋体" w:cs="Times New Roman"/>
          <w:color w:val="auto"/>
          <w:sz w:val="32"/>
          <w:szCs w:val="32"/>
          <w:lang w:val="en-US" w:eastAsia="zh-CN"/>
        </w:rPr>
      </w:pPr>
      <w:bookmarkStart w:id="0" w:name="OLE_LINK9"/>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2025年</w:t>
      </w:r>
      <w:bookmarkStart w:id="1" w:name="OLE_LINK5"/>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新都基地污水管网</w:t>
      </w:r>
      <w:bookmarkEnd w:id="1"/>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维修改造及办理污水排入市政管网排水许可证采购项目</w:t>
      </w:r>
    </w:p>
    <w:bookmarkEnd w:id="0"/>
    <w:p w14:paraId="524F3F27">
      <w:pPr>
        <w:pStyle w:val="5"/>
        <w:tabs>
          <w:tab w:val="left" w:pos="0"/>
        </w:tabs>
        <w:snapToGrid w:val="0"/>
        <w:spacing w:line="360"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二、项目限价及期限</w:t>
      </w:r>
    </w:p>
    <w:p w14:paraId="217218DA">
      <w:pPr>
        <w:pStyle w:val="5"/>
        <w:numPr>
          <w:ilvl w:val="0"/>
          <w:numId w:val="1"/>
        </w:numPr>
        <w:tabs>
          <w:tab w:val="left" w:pos="0"/>
        </w:tabs>
        <w:snapToGrid w:val="0"/>
        <w:spacing w:line="360" w:lineRule="auto"/>
        <w:ind w:left="481" w:leftChars="0" w:firstLine="0" w:firstLineChars="0"/>
        <w:rPr>
          <w:rFonts w:hint="eastAsia" w:hAnsi="宋体"/>
          <w:b/>
          <w:bCs/>
          <w:color w:val="auto"/>
          <w:sz w:val="32"/>
          <w:szCs w:val="32"/>
          <w:lang w:val="en-US" w:eastAsia="zh-CN"/>
        </w:rPr>
      </w:pPr>
      <w:r>
        <w:rPr>
          <w:rFonts w:hint="eastAsia" w:hAnsi="宋体"/>
          <w:b/>
          <w:bCs/>
          <w:color w:val="auto"/>
          <w:sz w:val="32"/>
          <w:szCs w:val="32"/>
          <w:lang w:val="en-US" w:eastAsia="zh-CN"/>
        </w:rPr>
        <w:t>项目限价：10万元</w:t>
      </w:r>
    </w:p>
    <w:p w14:paraId="62353440">
      <w:pPr>
        <w:pStyle w:val="5"/>
        <w:numPr>
          <w:ilvl w:val="0"/>
          <w:numId w:val="1"/>
        </w:numPr>
        <w:tabs>
          <w:tab w:val="left" w:pos="0"/>
        </w:tabs>
        <w:snapToGrid w:val="0"/>
        <w:spacing w:line="360" w:lineRule="auto"/>
        <w:ind w:left="481" w:leftChars="0" w:firstLine="0" w:firstLineChars="0"/>
        <w:rPr>
          <w:rFonts w:hint="default" w:hAnsi="宋体"/>
          <w:b/>
          <w:bCs/>
          <w:color w:val="auto"/>
          <w:sz w:val="32"/>
          <w:szCs w:val="32"/>
          <w:lang w:val="en-US" w:eastAsia="zh-CN"/>
        </w:rPr>
      </w:pPr>
      <w:r>
        <w:rPr>
          <w:rFonts w:hint="eastAsia" w:hAnsi="宋体"/>
          <w:b/>
          <w:bCs/>
          <w:color w:val="auto"/>
          <w:sz w:val="32"/>
          <w:szCs w:val="32"/>
          <w:lang w:val="en-US" w:eastAsia="zh-CN"/>
        </w:rPr>
        <w:t>期限：合同签订后45个日历日内</w:t>
      </w:r>
    </w:p>
    <w:p w14:paraId="0EE9C7D7">
      <w:pPr>
        <w:pStyle w:val="5"/>
        <w:tabs>
          <w:tab w:val="left" w:pos="0"/>
        </w:tabs>
        <w:snapToGrid w:val="0"/>
        <w:spacing w:line="360"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三、项目范围</w:t>
      </w:r>
    </w:p>
    <w:p w14:paraId="226FDAB1">
      <w:pPr>
        <w:pStyle w:val="5"/>
        <w:numPr>
          <w:ilvl w:val="0"/>
          <w:numId w:val="0"/>
        </w:numPr>
        <w:tabs>
          <w:tab w:val="left" w:pos="0"/>
        </w:tabs>
        <w:snapToGrid w:val="0"/>
        <w:spacing w:line="360" w:lineRule="auto"/>
        <w:ind w:leftChars="0" w:firstLine="640" w:firstLineChars="200"/>
        <w:rPr>
          <w:rFonts w:hint="default" w:hAnsi="宋体"/>
          <w:b/>
          <w:bCs/>
          <w:color w:val="auto"/>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bidi="ar"/>
        </w:rPr>
        <w:t>新都基地所有污水管网的维修改造完工后，出具QV检测报告和管网测绘图提交新都区水务局办理污水排入市政管网许可证。</w:t>
      </w:r>
    </w:p>
    <w:p w14:paraId="634CCFE0">
      <w:pPr>
        <w:pStyle w:val="5"/>
        <w:tabs>
          <w:tab w:val="left" w:pos="0"/>
        </w:tabs>
        <w:snapToGrid w:val="0"/>
        <w:spacing w:line="360"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四、项目时间</w:t>
      </w:r>
    </w:p>
    <w:p w14:paraId="346D2D06">
      <w:pPr>
        <w:pStyle w:val="5"/>
        <w:numPr>
          <w:ilvl w:val="0"/>
          <w:numId w:val="0"/>
        </w:numPr>
        <w:tabs>
          <w:tab w:val="left" w:pos="0"/>
        </w:tabs>
        <w:snapToGrid w:val="0"/>
        <w:spacing w:line="360" w:lineRule="auto"/>
        <w:ind w:firstLine="640" w:firstLineChars="200"/>
        <w:rPr>
          <w:rFonts w:hint="eastAsia" w:hAnsi="宋体"/>
          <w:color w:val="auto"/>
          <w:sz w:val="32"/>
          <w:szCs w:val="32"/>
          <w:lang w:val="en-US" w:eastAsia="zh-CN"/>
        </w:rPr>
      </w:pPr>
      <w:r>
        <w:rPr>
          <w:rFonts w:hint="eastAsia" w:hAnsi="宋体"/>
          <w:color w:val="auto"/>
          <w:sz w:val="32"/>
          <w:szCs w:val="32"/>
        </w:rPr>
        <w:t>1、</w:t>
      </w:r>
      <w:r>
        <w:rPr>
          <w:rFonts w:hint="eastAsia" w:hAnsi="宋体"/>
          <w:color w:val="auto"/>
          <w:sz w:val="32"/>
          <w:szCs w:val="32"/>
          <w:lang w:val="en-US" w:eastAsia="zh-CN"/>
        </w:rPr>
        <w:t>时间：从2025年  月   日-  2025年   月   日。</w:t>
      </w:r>
    </w:p>
    <w:p w14:paraId="37AE04AC">
      <w:pPr>
        <w:pStyle w:val="5"/>
        <w:tabs>
          <w:tab w:val="left" w:pos="0"/>
        </w:tabs>
        <w:snapToGrid w:val="0"/>
        <w:spacing w:line="360" w:lineRule="auto"/>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五、项目实施要求</w:t>
      </w:r>
    </w:p>
    <w:p w14:paraId="071A4808">
      <w:pPr>
        <w:pStyle w:val="10"/>
        <w:jc w:val="both"/>
        <w:rPr>
          <w:rFonts w:hint="eastAsia" w:ascii="仿宋_GB2312" w:hAnsi="仿宋_GB2312" w:eastAsia="仿宋_GB2312" w:cs="仿宋_GB2312"/>
          <w:color w:val="auto"/>
          <w:sz w:val="32"/>
          <w:szCs w:val="32"/>
          <w:lang w:val="en-US" w:eastAsia="zh-CN"/>
        </w:rPr>
      </w:pPr>
      <w:bookmarkStart w:id="2" w:name="OLE_LINK3"/>
      <w:bookmarkStart w:id="3" w:name="OLE_LINK6"/>
      <w:r>
        <w:rPr>
          <w:rFonts w:hint="eastAsia" w:ascii="仿宋_GB2312" w:hAnsi="仿宋_GB2312" w:eastAsia="仿宋_GB2312" w:cs="仿宋_GB2312"/>
          <w:color w:val="auto"/>
          <w:sz w:val="32"/>
          <w:szCs w:val="32"/>
          <w:lang w:val="en-US" w:eastAsia="zh-CN"/>
        </w:rPr>
        <w:t>（一）土石方部分</w:t>
      </w:r>
      <w:bookmarkEnd w:id="2"/>
    </w:p>
    <w:bookmarkEnd w:id="3"/>
    <w:p w14:paraId="3A9EF97E">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1、挖沟槽土方</w:t>
      </w:r>
    </w:p>
    <w:p w14:paraId="31CFEE53">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类别：综合考虑各种类别的土石方，包含软弱土、流砂、腐植土、膨胀土、地表土及耕作土、各类路缘石、嵌边石、建渣、垃圾、植被灌木、竹丛、地下的树根、树兜、钢筋混凝土管道、金属管道、原检查井等</w:t>
      </w:r>
    </w:p>
    <w:p w14:paraId="19301916">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（2）.挖土石深度：综合考虑</w:t>
      </w:r>
    </w:p>
    <w:p w14:paraId="3E5E2765">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（3）.挖土石方式：人机综合</w:t>
      </w:r>
    </w:p>
    <w:p w14:paraId="07294406">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（4）.土石方比例：综合考虑</w:t>
      </w:r>
    </w:p>
    <w:p w14:paraId="72ABFD74">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（5）.切管费用包含在综合单价内</w:t>
      </w:r>
    </w:p>
    <w:p w14:paraId="6F96B122">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（6）.边坡支护方式由施工单位考虑进综合单价内，不另计</w:t>
      </w:r>
    </w:p>
    <w:p w14:paraId="5ADEA488">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（7）.场内运距及临时堆场：综合考虑</w:t>
      </w:r>
    </w:p>
    <w:p w14:paraId="50607533">
      <w:pPr>
        <w:pStyle w:val="1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（8）.其他：满足规范及验收要求</w:t>
      </w:r>
    </w:p>
    <w:p w14:paraId="2E3458EC">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.回填沟槽土石方</w:t>
      </w:r>
    </w:p>
    <w:p w14:paraId="61FC71D6">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bookmarkStart w:id="4" w:name="OLE_LINK4"/>
      <w:r>
        <w:rPr>
          <w:rFonts w:hint="eastAsia" w:ascii="仿宋_GB2312" w:hAnsi="仿宋_GB2312" w:eastAsia="仿宋_GB2312" w:cs="仿宋_GB2312"/>
          <w:color w:val="auto"/>
          <w:sz w:val="32"/>
          <w:szCs w:val="32"/>
          <w:lang w:eastAsia="zh-CN"/>
        </w:rPr>
        <w:t>.</w:t>
      </w:r>
      <w:bookmarkEnd w:id="4"/>
      <w:r>
        <w:rPr>
          <w:rFonts w:hint="eastAsia" w:ascii="仿宋_GB2312" w:hAnsi="仿宋_GB2312" w:eastAsia="仿宋_GB2312" w:cs="仿宋_GB2312"/>
          <w:color w:val="auto"/>
          <w:sz w:val="32"/>
          <w:szCs w:val="32"/>
          <w:lang w:eastAsia="zh-CN"/>
        </w:rPr>
        <w:t>填方材料品种：合格土石方</w:t>
      </w:r>
    </w:p>
    <w:p w14:paraId="602248EA">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）.密实度要求：满足设计及施工规范要求</w:t>
      </w:r>
    </w:p>
    <w:p w14:paraId="4268EA61">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）.填方粒径要求：石方解小满足设计及施工规范要求，其费用综合考虑在综合单价中</w:t>
      </w:r>
    </w:p>
    <w:p w14:paraId="2302B4D3">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）.填方来源、运距：踏勘现场综合考虑取土场、借土、买土回填及场内外运距,其费用综合考虑在综合单价中</w:t>
      </w:r>
    </w:p>
    <w:p w14:paraId="23204E0A">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）.运输、摊铺、压实，其费用综合考虑在综合单价中</w:t>
      </w:r>
    </w:p>
    <w:p w14:paraId="3922BEF6">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）.其他：满足设计及施工规范要求</w:t>
      </w:r>
    </w:p>
    <w:p w14:paraId="257CA479">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土石方弃置</w:t>
      </w:r>
    </w:p>
    <w:p w14:paraId="45AAB016">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类别：综合考虑各种类别的土石方，包含、软弱土、流砂、腐植土、膨胀土、地表土及耕作土、各类地坪、路缘石、嵌边石、建渣垃圾、植被、胸径≤10cm的乔木、灌木、竹丛、地下的树根、树兜、地面下的各种砖石结构、砼结构、管道内建渣及污泥、检查井内建渣及污泥等</w:t>
      </w:r>
    </w:p>
    <w:p w14:paraId="1A0E0A5A">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运距及堆场：运输距离自行考虑，外弃土方的堆放场地自行解决，并综合考虑在综合单价中，在中标后合同履行期间，投标人不因本工程工程数量、土石比例、外弃土方运输距离、土方运输方案、外弃土方的堆放场地等变化而对合同单价作任何调整</w:t>
      </w:r>
    </w:p>
    <w:p w14:paraId="54923E3A">
      <w:pPr>
        <w:pStyle w:val="10"/>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）.其他:满足规范要求</w:t>
      </w:r>
    </w:p>
    <w:p w14:paraId="31F80473">
      <w:pPr>
        <w:pStyle w:val="1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（二）管道部分</w:t>
      </w:r>
    </w:p>
    <w:p w14:paraId="6E2E6EC0">
      <w:pPr>
        <w:pStyle w:val="1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1.加厚型 UPVC DN50、加厚型 UPVC DN100、 HDPE管 DN200、 HDPE管 DN300等</w:t>
      </w:r>
    </w:p>
    <w:p w14:paraId="4CD54345">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）.垫层、基础材质及厚度：另计</w:t>
      </w:r>
    </w:p>
    <w:p w14:paraId="7D9D28FB">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）.材质及规格：HDPE管 DN200</w:t>
      </w:r>
    </w:p>
    <w:p w14:paraId="5732F925">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）.连接形式：详设计</w:t>
      </w:r>
    </w:p>
    <w:p w14:paraId="0CEA242E">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）.铺设深度：综合</w:t>
      </w:r>
    </w:p>
    <w:p w14:paraId="0FC39339">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）.接管及管节费用包含在综合单价内</w:t>
      </w:r>
    </w:p>
    <w:p w14:paraId="19BCF81B">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）.管道检验及试验要求：满足设计及规范要求</w:t>
      </w:r>
    </w:p>
    <w:p w14:paraId="3F0FBC67">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）.清单工程量按2020《四川省建设工程工程量清单计价定额》计算规则计算</w:t>
      </w:r>
    </w:p>
    <w:p w14:paraId="531A59D3">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）.其他：满足施工验收及规范要求</w:t>
      </w:r>
    </w:p>
    <w:p w14:paraId="0396AA5F">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）管基部分</w:t>
      </w:r>
    </w:p>
    <w:p w14:paraId="3D122CEC">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管道中、粗砂基础及包管</w:t>
      </w:r>
    </w:p>
    <w:p w14:paraId="63C8D48D">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.材料：中、粗砂（中、粗砂、拆除部分道路面层基层、拆除部分砖石结构等利用 ）</w:t>
      </w:r>
    </w:p>
    <w:p w14:paraId="6AC936F7">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.石方解小、再生料处理均包含在综合单价中</w:t>
      </w:r>
    </w:p>
    <w:p w14:paraId="7A23479A">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.场内转运、再生料处理场地由投标人综合考虑</w:t>
      </w:r>
    </w:p>
    <w:p w14:paraId="681692A2">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.其他：满足施工验收及规范要求</w:t>
      </w:r>
    </w:p>
    <w:p w14:paraId="79C2C1A2">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废除管道封堵</w:t>
      </w:r>
    </w:p>
    <w:p w14:paraId="1AF34691">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1.名称：雨水、污水井临时封堵</w:t>
      </w:r>
    </w:p>
    <w:p w14:paraId="49048046">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2.材质：370厚页岩砖砌临时封堵</w:t>
      </w:r>
    </w:p>
    <w:p w14:paraId="687010A1">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3.抹灰：20mm厚1:2.5防水砂浆抹面</w:t>
      </w:r>
    </w:p>
    <w:p w14:paraId="27E6942B">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4.其余做法：满足设计、施工验收规范及城管、环保要求</w:t>
      </w:r>
    </w:p>
    <w:p w14:paraId="16766274">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检查井（含井修复）</w:t>
      </w:r>
    </w:p>
    <w:p w14:paraId="04D7B3E2">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新建污水检查井400*400</w:t>
      </w:r>
    </w:p>
    <w:p w14:paraId="4D4748FE">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 xml:space="preserve">）.垫层、基础砌体抹灰材质及厚度：综合考虑 </w:t>
      </w:r>
    </w:p>
    <w:p w14:paraId="691FCB2E">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）.检查井材质、规格：400.400雨水塑料检查井 </w:t>
      </w:r>
    </w:p>
    <w:p w14:paraId="49D14D77">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 xml:space="preserve">）.井盖、井圈材质及规格：球墨铸铁井盖井座，包含隐蔽式井盖 </w:t>
      </w:r>
    </w:p>
    <w:p w14:paraId="4308F905">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）.其他：详设计图，满足设计及规范要求规范</w:t>
      </w:r>
    </w:p>
    <w:p w14:paraId="5EA571CB">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新建塑料检查井 Φ700</w:t>
      </w:r>
    </w:p>
    <w:p w14:paraId="113DD30D">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 xml:space="preserve">）.垫层、基础材质及厚度：综合考虑 </w:t>
      </w:r>
    </w:p>
    <w:p w14:paraId="7E13B13D">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 xml:space="preserve">）.检查井材质、规格：Φ700雨水塑料检查井 </w:t>
      </w:r>
    </w:p>
    <w:p w14:paraId="1AE466B4">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 xml:space="preserve">）.井筒、井盖、井圈材质及规格：球墨铸铁井盖井座，包含隐蔽式井盖 </w:t>
      </w:r>
    </w:p>
    <w:p w14:paraId="574493CC">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）.其他：详设计图，满足设计及规范要求规范</w:t>
      </w:r>
    </w:p>
    <w:p w14:paraId="608879D7">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default" w:ascii="仿宋_GB2312" w:hAnsi="仿宋_GB2312" w:eastAsia="仿宋_GB2312" w:cs="仿宋_GB2312"/>
          <w:color w:val="auto"/>
          <w:sz w:val="32"/>
          <w:szCs w:val="32"/>
          <w:lang w:val="en-US" w:eastAsia="zh-CN"/>
        </w:rPr>
        <w:t>路面恢复</w:t>
      </w:r>
    </w:p>
    <w:p w14:paraId="3708D1E4">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bookmarkStart w:id="5" w:name="OLE_LINK8"/>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混凝土</w:t>
      </w:r>
      <w:r>
        <w:rPr>
          <w:rFonts w:hint="eastAsia" w:ascii="仿宋_GB2312" w:hAnsi="仿宋_GB2312" w:eastAsia="仿宋_GB2312" w:cs="仿宋_GB2312"/>
          <w:color w:val="auto"/>
          <w:sz w:val="32"/>
          <w:szCs w:val="32"/>
          <w:lang w:val="en-US" w:eastAsia="zh-CN"/>
        </w:rPr>
        <w:t>路面</w:t>
      </w:r>
    </w:p>
    <w:bookmarkEnd w:id="5"/>
    <w:p w14:paraId="2D0977F5">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w:t>
      </w:r>
      <w:bookmarkStart w:id="6" w:name="OLE_LINK7"/>
      <w:r>
        <w:rPr>
          <w:rFonts w:hint="default" w:ascii="仿宋_GB2312" w:hAnsi="仿宋_GB2312" w:eastAsia="仿宋_GB2312" w:cs="仿宋_GB2312"/>
          <w:color w:val="auto"/>
          <w:sz w:val="32"/>
          <w:szCs w:val="32"/>
          <w:lang w:val="en-US" w:eastAsia="zh-CN"/>
        </w:rPr>
        <w:t>混凝土</w:t>
      </w:r>
      <w:bookmarkEnd w:id="6"/>
      <w:r>
        <w:rPr>
          <w:rFonts w:hint="default" w:ascii="仿宋_GB2312" w:hAnsi="仿宋_GB2312" w:eastAsia="仿宋_GB2312" w:cs="仿宋_GB2312"/>
          <w:color w:val="auto"/>
          <w:sz w:val="32"/>
          <w:szCs w:val="32"/>
          <w:lang w:val="en-US" w:eastAsia="zh-CN"/>
        </w:rPr>
        <w:t>强度等级：C20</w:t>
      </w:r>
      <w:r>
        <w:rPr>
          <w:rFonts w:hint="eastAsia" w:ascii="仿宋_GB2312" w:hAnsi="仿宋_GB2312" w:eastAsia="仿宋_GB2312" w:cs="仿宋_GB2312"/>
          <w:color w:val="auto"/>
          <w:sz w:val="32"/>
          <w:szCs w:val="32"/>
          <w:lang w:val="en-US" w:eastAsia="zh-CN"/>
        </w:rPr>
        <w:t>、C30</w:t>
      </w:r>
    </w:p>
    <w:p w14:paraId="534A5C4D">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.厚度</w:t>
      </w:r>
      <w:r>
        <w:rPr>
          <w:rFonts w:hint="eastAsia" w:ascii="仿宋_GB2312" w:hAnsi="仿宋_GB2312" w:eastAsia="仿宋_GB2312" w:cs="仿宋_GB2312"/>
          <w:color w:val="auto"/>
          <w:sz w:val="32"/>
          <w:szCs w:val="32"/>
          <w:lang w:val="en-US" w:eastAsia="zh-CN"/>
        </w:rPr>
        <w:t>;20CM</w:t>
      </w:r>
    </w:p>
    <w:p w14:paraId="46EE5EC3">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.嵌缝材料：伸缩缝综合</w:t>
      </w:r>
    </w:p>
    <w:p w14:paraId="513A9A6B">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.无论是否刻纹、模板等均包含在综合单价中</w:t>
      </w:r>
    </w:p>
    <w:p w14:paraId="05157AE7">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.其他：满足设计、施工及验收规范要求</w:t>
      </w:r>
    </w:p>
    <w:p w14:paraId="4AD741E3">
      <w:pPr>
        <w:pStyle w:val="10"/>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2.沥青路面</w:t>
      </w:r>
    </w:p>
    <w:p w14:paraId="7BD5D402">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.沥青品种：详设计</w:t>
      </w:r>
    </w:p>
    <w:p w14:paraId="7FAFFFF6">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.沥青混凝土种类：细粒式沥青混凝土AC-13C</w:t>
      </w:r>
    </w:p>
    <w:p w14:paraId="0D23CD20">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.石料粒径：碎石，粒径大小详设计</w:t>
      </w:r>
    </w:p>
    <w:p w14:paraId="3BF92B24">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.掺合料及外加剂：详见设计要求</w:t>
      </w:r>
    </w:p>
    <w:p w14:paraId="0D8B4457">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default" w:ascii="仿宋_GB2312" w:hAnsi="仿宋_GB2312" w:eastAsia="仿宋_GB2312" w:cs="仿宋_GB2312"/>
          <w:color w:val="auto"/>
          <w:sz w:val="32"/>
          <w:szCs w:val="32"/>
          <w:lang w:val="en-US" w:eastAsia="zh-CN"/>
        </w:rPr>
        <w:t>.厚度：5cm</w:t>
      </w:r>
    </w:p>
    <w:p w14:paraId="4AEB38CA">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default" w:ascii="仿宋_GB2312" w:hAnsi="仿宋_GB2312" w:eastAsia="仿宋_GB2312" w:cs="仿宋_GB2312"/>
          <w:color w:val="auto"/>
          <w:sz w:val="32"/>
          <w:szCs w:val="32"/>
          <w:lang w:val="en-US" w:eastAsia="zh-CN"/>
        </w:rPr>
        <w:t>.粗、细集料：满足设计及规范要求</w:t>
      </w:r>
    </w:p>
    <w:p w14:paraId="3AD74AA7">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w:t>
      </w:r>
      <w:r>
        <w:rPr>
          <w:rFonts w:hint="default" w:ascii="仿宋_GB2312" w:hAnsi="仿宋_GB2312" w:eastAsia="仿宋_GB2312" w:cs="仿宋_GB2312"/>
          <w:color w:val="auto"/>
          <w:sz w:val="32"/>
          <w:szCs w:val="32"/>
          <w:lang w:val="en-US" w:eastAsia="zh-CN"/>
        </w:rPr>
        <w:t>.成品或半成品综合考虑，是否设置热拌场投标人自行考虑在综合单价中</w:t>
      </w:r>
    </w:p>
    <w:p w14:paraId="29B9F84E">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default" w:ascii="仿宋_GB2312" w:hAnsi="仿宋_GB2312" w:eastAsia="仿宋_GB2312" w:cs="仿宋_GB2312"/>
          <w:color w:val="auto"/>
          <w:sz w:val="32"/>
          <w:szCs w:val="32"/>
          <w:lang w:val="en-US" w:eastAsia="zh-CN"/>
        </w:rPr>
        <w:t>.沥青混凝土运输距离：投标人根据现场情况自行考虑</w:t>
      </w:r>
    </w:p>
    <w:p w14:paraId="5E2C0356">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val="en-US" w:eastAsia="zh-CN"/>
        </w:rPr>
        <w:t>.其它：满足设计、施工及验收规范要求</w:t>
      </w:r>
    </w:p>
    <w:p w14:paraId="5B5CFDCE">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w:t>
      </w:r>
      <w:r>
        <w:rPr>
          <w:rFonts w:hint="default" w:ascii="仿宋_GB2312" w:hAnsi="仿宋_GB2312" w:eastAsia="仿宋_GB2312" w:cs="仿宋_GB2312"/>
          <w:color w:val="auto"/>
          <w:sz w:val="32"/>
          <w:szCs w:val="32"/>
          <w:lang w:val="en-US" w:eastAsia="zh-CN"/>
        </w:rPr>
        <w:t>管道内窥检测</w:t>
      </w:r>
    </w:p>
    <w:p w14:paraId="64F6C2F2">
      <w:pPr>
        <w:pStyle w:val="10"/>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含管道疏通.QV检测.检测报告.蓝图</w:t>
      </w:r>
      <w:r>
        <w:rPr>
          <w:rFonts w:hint="eastAsia" w:ascii="仿宋_GB2312" w:hAnsi="仿宋_GB2312" w:eastAsia="仿宋_GB2312" w:cs="仿宋_GB2312"/>
          <w:color w:val="auto"/>
          <w:sz w:val="32"/>
          <w:szCs w:val="32"/>
          <w:lang w:val="en-US" w:eastAsia="zh-CN"/>
        </w:rPr>
        <w:t>，最终成果应新都区水务局采用并办理成功污水排入市政管网许可证。</w:t>
      </w:r>
    </w:p>
    <w:p w14:paraId="4E33A0E2">
      <w:bookmarkStart w:id="7" w:name="_GoBack"/>
      <w:bookmarkEnd w:id="7"/>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678A6"/>
    <w:multiLevelType w:val="singleLevel"/>
    <w:tmpl w:val="F0E678A6"/>
    <w:lvl w:ilvl="0" w:tentative="0">
      <w:start w:val="1"/>
      <w:numFmt w:val="decimal"/>
      <w:suff w:val="nothing"/>
      <w:lvlText w:val="%1、"/>
      <w:lvlJc w:val="left"/>
      <w:pPr>
        <w:ind w:left="48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72274"/>
    <w:rsid w:val="53B72274"/>
    <w:rsid w:val="647B46E8"/>
    <w:rsid w:val="7B24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Normal Indent"/>
    <w:basedOn w:val="1"/>
    <w:qFormat/>
    <w:uiPriority w:val="0"/>
    <w:pPr>
      <w:ind w:firstLine="420" w:firstLineChars="200"/>
    </w:pPr>
    <w:rPr>
      <w:rFonts w:ascii="Times New Roman"/>
      <w:kern w:val="2"/>
      <w:sz w:val="21"/>
      <w:szCs w:val="24"/>
    </w:rPr>
  </w:style>
  <w:style w:type="paragraph" w:styleId="5">
    <w:name w:val="Plain Text"/>
    <w:basedOn w:val="1"/>
    <w:unhideWhenUsed/>
    <w:qFormat/>
    <w:uiPriority w:val="0"/>
    <w:rPr>
      <w:rFonts w:ascii="宋体" w:hAnsi="Courier New"/>
      <w:szCs w:val="20"/>
    </w:rPr>
  </w:style>
  <w:style w:type="paragraph" w:styleId="6">
    <w:name w:val="Body Text Indent 2"/>
    <w:basedOn w:val="1"/>
    <w:qFormat/>
    <w:uiPriority w:val="0"/>
    <w:pPr>
      <w:spacing w:after="120" w:line="480" w:lineRule="auto"/>
      <w:ind w:left="420" w:left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2025-03-04T04:21:00Z</dcterms:created>
  <dc:creator>WPS_1591351320</dc:creator>
  <cp:lastModifiedBy>WPS_1591351320</cp:lastModifiedBy>
  <dcterms:modified xsi:type="dcterms:W3CDTF">2025-03-04T04:24:28Z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B63131D7658A4CB9AF0CA33FF12F5074_13</vt:lpwstr>
  </property>
  <property fmtid="{D5CDD505-2E9C-101B-9397-08002B2CF9AE}" pid="4" name="KSOTemplateDocerSaveRecord">
    <vt:lpwstr>eyJoZGlkIjoiODEyYjNiZWVjNGRhYTExZjEyODg3MzNjMTg5NmMyYzkiLCJ1c2VySWQiOiIxMDA3MTUyNjEwIn0=</vt:lpwstr>
  </property>
</Properties>
</file>